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Look w:val="04A0"/>
      </w:tblPr>
      <w:tblGrid>
        <w:gridCol w:w="849"/>
        <w:gridCol w:w="2937"/>
        <w:gridCol w:w="4980"/>
      </w:tblGrid>
      <w:tr w:rsidR="002450ED" w:rsidRPr="002450ED" w:rsidTr="00417409">
        <w:trPr>
          <w:jc w:val="center"/>
        </w:trPr>
        <w:tc>
          <w:tcPr>
            <w:tcW w:w="849" w:type="dxa"/>
            <w:shd w:val="clear" w:color="auto" w:fill="F2DBDB" w:themeFill="accent2" w:themeFillTint="33"/>
          </w:tcPr>
          <w:p w:rsidR="002450ED" w:rsidRPr="002450ED" w:rsidRDefault="002450ED" w:rsidP="00417409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Redni broj</w:t>
            </w:r>
          </w:p>
        </w:tc>
        <w:tc>
          <w:tcPr>
            <w:tcW w:w="2937" w:type="dxa"/>
            <w:shd w:val="clear" w:color="auto" w:fill="F2DBDB" w:themeFill="accent2" w:themeFillTint="33"/>
          </w:tcPr>
          <w:p w:rsidR="002450ED" w:rsidRPr="002450ED" w:rsidRDefault="002450ED" w:rsidP="00417409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Prezime i ime</w:t>
            </w:r>
          </w:p>
        </w:tc>
        <w:tc>
          <w:tcPr>
            <w:tcW w:w="4980" w:type="dxa"/>
            <w:shd w:val="clear" w:color="auto" w:fill="F2DBDB" w:themeFill="accent2" w:themeFillTint="33"/>
          </w:tcPr>
          <w:p w:rsidR="002450ED" w:rsidRPr="002450ED" w:rsidRDefault="002450ED" w:rsidP="00417409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Teme</w:t>
            </w:r>
          </w:p>
          <w:p w:rsidR="002450ED" w:rsidRPr="002450ED" w:rsidRDefault="002450ED" w:rsidP="00417409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</w:p>
        </w:tc>
      </w:tr>
      <w:tr w:rsidR="002450ED" w:rsidRPr="002450ED" w:rsidTr="00417409">
        <w:trPr>
          <w:trHeight w:val="23"/>
          <w:jc w:val="center"/>
        </w:trPr>
        <w:tc>
          <w:tcPr>
            <w:tcW w:w="849" w:type="dxa"/>
            <w:vMerge w:val="restart"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tabs>
                <w:tab w:val="left" w:pos="469"/>
              </w:tabs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Borjanić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Bojan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( 4ET3 - 7)</w:t>
            </w: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Remenski prijenosnici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ABS sustav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eastAsia="Calibri" w:hAnsi="Georgia" w:cs="Times New Roman"/>
                <w:i/>
                <w:color w:val="000000" w:themeColor="text1"/>
              </w:rPr>
              <w:t>Kočenje vozila sa ABS – om i bez ABS sustava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Servomehanizmi – teorijske osnove i primjena kod vozila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Uloga </w:t>
            </w:r>
            <w:r w:rsidRPr="002450ED">
              <w:rPr>
                <w:rFonts w:ascii="Georgia" w:eastAsia="Calibri" w:hAnsi="Georgia" w:cs="Times New Roman"/>
                <w:i/>
                <w:color w:val="000000" w:themeColor="text1"/>
              </w:rPr>
              <w:t>i značaj automatizacije u suvremenom gospodarstvu i okruženju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Mjerenja u akustici i optici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Vijčani spojevi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Vratilo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Plinske turbine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Ulazna kontrola proizvoda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Izlazna kontrola proizvoda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4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Energija i snaga vjetra-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vjetroturbine</w:t>
            </w:r>
            <w:proofErr w:type="spellEnd"/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  <w:shd w:val="clear" w:color="auto" w:fill="auto"/>
          </w:tcPr>
          <w:p w:rsidR="002450ED" w:rsidRPr="002450ED" w:rsidRDefault="002450ED" w:rsidP="00417409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Delić Stjepko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(7)</w:t>
            </w: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Mediji za pohranu podataka 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Automobil na električni pogon 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Bežične mreže 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Prazan hod i kratki spoj jednofaznog transformatora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Gromobranska instalacija na stambenom objektu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Vjetroelektrane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Procesor (CPU)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Skeneri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Laseri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Predviđanje potrošnje električne energije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Nuklearne elektrane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3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Rasklopna postrojenja 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Filaković Mato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(4ET1 – 7)</w:t>
            </w: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Automatsko upravljanje centralnim grijanjem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Mjerenje i regulacija temperature (klima uređaj)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Kontrola temperature pšenice u skladištu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Regulacija razine tekućine u spremniku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Regulacija brzine vrtnje neovisno uzbuđenog motora PI regulatorom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Regulacija brzine vrtnje jednofaznog motora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Sustav protuprovalne zaštite u kućanstvima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Termoelektrični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pretvornik (generator)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Frekvencijski pretvarač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Termovizija</w:t>
            </w:r>
            <w:proofErr w:type="spellEnd"/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Senzor pokreta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3"/>
              <w:numPr>
                <w:ilvl w:val="0"/>
                <w:numId w:val="2"/>
              </w:numPr>
              <w:ind w:left="420"/>
              <w:contextualSpacing w:val="0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Programiranje rasvjete u dnevnoj sobi</w:t>
            </w:r>
          </w:p>
        </w:tc>
      </w:tr>
      <w:tr w:rsidR="002450ED" w:rsidRPr="002450ED" w:rsidTr="00417409">
        <w:trPr>
          <w:trHeight w:val="23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Harhaj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Marica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(4ET1 -7)</w:t>
            </w: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1. Utjecaj elektrana na okoliš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2. Prijenos električne energije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3. Hibridni automobil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4. Nove tehnologije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5.  Primjena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termovizije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u električnim postrojenjima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6. Obnovljivi izvori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7.  Zaštita VN dalekovoda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8.  Održavanje SF6 prekidača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9.  Razvoj rasvjetnih tijela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10. Daljinsko vođenje elektroenergetskog sustava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11. Elektrane na biomasu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8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Ivanović – Ižaković Danijela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(4ET2 -7)</w:t>
            </w: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Massive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Open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Online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Courses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 (MOOC) 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Cloud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computing</w:t>
            </w:r>
            <w:proofErr w:type="spellEnd"/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Tehnike izrade video igara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Self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driving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cars</w:t>
            </w:r>
            <w:proofErr w:type="spellEnd"/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Umjetna inteligencija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Gamification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Računalna umjetnost (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Photoshop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, GIMP,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Saundation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) </w:t>
            </w:r>
            <w:bookmarkStart w:id="0" w:name="_GoBack"/>
            <w:bookmarkEnd w:id="0"/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Društvene mreže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Web 2.0 alati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Interaktvina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 računalna grafika (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WebGL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Naslov1"/>
              <w:numPr>
                <w:ilvl w:val="0"/>
                <w:numId w:val="15"/>
              </w:numPr>
              <w:ind w:left="409"/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z w:val="22"/>
                <w:szCs w:val="22"/>
              </w:rPr>
              <w:t>Kriptografija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Jakopović Vjekoslav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(4ET2 -7)</w:t>
            </w: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Virtualni operacijski sustav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Virusi i zaštita od virusa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BIOS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Metode zaštite WLAN mreža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Operacijski sustavi otvorenog koda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Izrada android aplikacije EMSA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CMS sustavi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Instalacija i konfiguracija računalnog  alata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iTALC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unutar lokalne mreže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MS Access - izrada baze podataka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Udaljena administracija računala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numPr>
                <w:ilvl w:val="0"/>
                <w:numId w:val="19"/>
              </w:numPr>
              <w:tabs>
                <w:tab w:val="clear" w:pos="720"/>
                <w:tab w:val="num" w:pos="409"/>
              </w:tabs>
              <w:spacing w:before="100" w:beforeAutospacing="1" w:after="100" w:afterAutospacing="1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Operacijski sustavi za mobilne telefone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Janjić Anđelko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 (4ET1 – 7)</w:t>
            </w: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Laboratorijsko ispitivanje  solarne ćelije 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Konstrukcija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fotonaponskog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sustava 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Obrada video materijala (Mioč 4eT1)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Projektiranje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fotonaponske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elektrane 5 kW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Konstrukcija i ispitivanje transformatora 230V/12V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Upravljanje trofaznog asinkronog motora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sklopnicima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Promjena brzine vrtnje klizno-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kolutnog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asinkronog motora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Regulacija brzine vrtnje trofaznog </w:t>
            </w:r>
            <w:r w:rsidRPr="002450ED">
              <w:rPr>
                <w:rFonts w:ascii="Georgia" w:hAnsi="Georgia"/>
                <w:i/>
                <w:color w:val="000000" w:themeColor="text1"/>
              </w:rPr>
              <w:lastRenderedPageBreak/>
              <w:t>asinkronog motora frekventnim pretvaračem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Smart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labirint (Kučera 4eT1)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Regulacija neovisno uzbuđenog motora naponom armature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Sustavi zaštite sinkronog generatora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Jukić Mario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 (3e1 ELE -7)</w:t>
            </w: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1. LED žarulja na 230V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2. LED voltmetar za kontrolu 12V akumulatora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3.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Bezkontaktni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senzori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4. Detektor metala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5. Obnovljivi izvori energije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6. USB punjač baterija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7. Izrada VU metar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8. Alarmni sustavi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9. Platforme mobilnih uređaja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10. Zaštita računala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11. Popravak televizora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12. Popravak računala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Lukić –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Kovanović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Kata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(4ET2 -7)</w:t>
            </w: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Kontrola pristupa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Računalna aplikacija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Cijevno pojačalo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Napajanje računala ( energetski blok )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Ekološko zbrinjavanje elektroničkog otpada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Tehnička zračenja - utjecaj na čovjeka i okoliš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Hlađenje mikroprocesora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Regulacijski ispravljač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Funkcijski generator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Multivibratori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 xml:space="preserve"> - uporaba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Uporaba solarne energije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3"/>
              </w:numPr>
              <w:ind w:left="420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shd w:val="clear" w:color="auto" w:fill="FFFFFF"/>
              </w:rPr>
              <w:t>Akustična sklopka</w:t>
            </w:r>
          </w:p>
        </w:tc>
      </w:tr>
      <w:tr w:rsidR="002450ED" w:rsidRPr="002450ED" w:rsidTr="00417409">
        <w:trPr>
          <w:trHeight w:val="23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Maričić Zoran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(4ET3 – 7)</w:t>
            </w: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 xml:space="preserve">Planetarni  </w:t>
            </w:r>
            <w:proofErr w:type="spellStart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prigoni</w:t>
            </w:r>
            <w:proofErr w:type="spellEnd"/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Sigurnosne spojke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 xml:space="preserve">FM-spojevi elastičnom deformacijom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Modeliranje vratila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 xml:space="preserve">Model </w:t>
            </w:r>
            <w:proofErr w:type="spellStart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polužnog</w:t>
            </w:r>
            <w:proofErr w:type="spellEnd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prigona</w:t>
            </w:r>
            <w:proofErr w:type="spellEnd"/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Tlakomjeri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 xml:space="preserve">Pneumatski </w:t>
            </w:r>
            <w:proofErr w:type="spellStart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utiskivač</w:t>
            </w:r>
            <w:proofErr w:type="spellEnd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 xml:space="preserve"> čahura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Pneumatski punjač limenki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Uređaj za odmašćivanje (</w:t>
            </w:r>
            <w:proofErr w:type="spellStart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elektropneumatika</w:t>
            </w:r>
            <w:proofErr w:type="spellEnd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)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4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Uređaj za pjeskarenje (</w:t>
            </w:r>
            <w:proofErr w:type="spellStart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elektropneumatika</w:t>
            </w:r>
            <w:proofErr w:type="spellEnd"/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)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vAlign w:val="center"/>
          </w:tcPr>
          <w:p w:rsidR="002450ED" w:rsidRPr="002450ED" w:rsidRDefault="002450ED" w:rsidP="002450ED">
            <w:pPr>
              <w:pStyle w:val="Odlomakpopisa2"/>
              <w:numPr>
                <w:ilvl w:val="0"/>
                <w:numId w:val="17"/>
              </w:numPr>
              <w:ind w:left="409"/>
              <w:rPr>
                <w:rFonts w:ascii="Georgia" w:hAnsi="Georgia"/>
                <w:i/>
                <w:iCs/>
                <w:color w:val="000000" w:themeColor="text1"/>
              </w:rPr>
            </w:pPr>
            <w:r w:rsidRPr="002450ED">
              <w:rPr>
                <w:rFonts w:ascii="Georgia" w:hAnsi="Georgia"/>
                <w:i/>
                <w:iCs/>
                <w:color w:val="000000" w:themeColor="text1"/>
              </w:rPr>
              <w:t>Hidraulička naprava za savijanje obujmica</w:t>
            </w:r>
          </w:p>
        </w:tc>
      </w:tr>
      <w:tr w:rsidR="002450ED" w:rsidRPr="002450ED" w:rsidTr="00417409">
        <w:trPr>
          <w:trHeight w:val="23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Mesić Mirko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(4ET2 – 7)</w:t>
            </w: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Kanalni VU metar 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Solarni USB punjač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Bluetooth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zvučnički sustav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Akustička sklopka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Mediji za pohranu podataka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NFC prijenos podataka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Senzor prolaska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Grafeni</w:t>
            </w:r>
            <w:proofErr w:type="spellEnd"/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Digitalni termometar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GPS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6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Elektronički alarm kiše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Ostrunić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Gordana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(4ET3 – 7)</w:t>
            </w: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Izrada sklopa u programu SE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Remeni prijenos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Jednostupanjski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reduktor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Izrada proizvodne dokumentacije za zupčanik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Ležajevi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Podmazivanje i brtvljenje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Ležajevi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Spojke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Hladnjak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Klima uređaj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Motori  s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Otto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procesom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2"/>
              </w:numPr>
              <w:ind w:left="420"/>
              <w:contextualSpacing w:val="0"/>
              <w:rPr>
                <w:rFonts w:ascii="Georgia" w:eastAsiaTheme="minorHAnsi" w:hAnsi="Georgia"/>
                <w:i/>
                <w:color w:val="000000" w:themeColor="text1"/>
                <w:lang w:eastAsia="en-US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Motori  s Diesel procesom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Štulić Bojana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(4ET3 – 7)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Ekspertni sustav za detekciju kvara računala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Operacijski sustavi 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Industrijski robot za slaganje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Inteligentni roboti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SCADA sustavi u industriji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Robotski sustavi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Mjerni pretvornici u industriji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Kriptiranje i sigurnost podataka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Povijesni razvoj robotike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</w:tcPr>
          <w:p w:rsidR="002450ED" w:rsidRPr="002450ED" w:rsidRDefault="002450ED" w:rsidP="002450ED">
            <w:pPr>
              <w:pStyle w:val="Bezproreda"/>
              <w:numPr>
                <w:ilvl w:val="0"/>
                <w:numId w:val="18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Mobilni roboti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auto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:rsidR="002450ED" w:rsidRPr="002450ED" w:rsidRDefault="002450ED" w:rsidP="002450ED">
            <w:pPr>
              <w:pStyle w:val="Odlomakpopisa2"/>
              <w:numPr>
                <w:ilvl w:val="0"/>
                <w:numId w:val="18"/>
              </w:numPr>
              <w:spacing w:line="100" w:lineRule="atLeast"/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Model proizvodnog procesa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10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Tačković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Bernard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 (3e1 MO – 5)</w:t>
            </w: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Spajanje elemenata u vodnom polju 10 kV.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Uvjeti za paralelan rad dva transformatora 35/10 kV.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Spoj strujnih mjernih transformatora u elektroenergetskom postrojenju 35 i 10 kV.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Postavljanje i priključak kućnog priključnog ormarića.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Izbor presjeka sabirnica 10 kV s obzirom na maksimalnu struju u normalnom pogonu.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Spoj naponskih mjernih transformatora u elektroenergetskom postrojenju 35 i 10 kV.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Izbor visokonaponskog osigurača nazivnog napona 10 kV.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Odabir visokonaponskog prekidača u elektroenergetskom postrojenju.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Izbor relejne zaštite u TS 35/10 kV.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Temperaturna i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Bucholzova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zaštita energetskog transformatora 10/0,4 kV.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Uloga jednostrukih, dvostrukih i pomoćnih sabirnica u elektroenergetskom postrojenju 35 kV.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Proračun potrebnog presjeka energetskog kabela 10 kV.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Odabir uzemljivača za željezno </w:t>
            </w: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stupnu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stanicu napona 10/0,4 kV.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Proračun presjeka horizontalno postavljenih aluminijskih sabirnica vanjskog promjera 50 mm s obzirom na </w:t>
            </w:r>
            <w:r w:rsidRPr="002450ED">
              <w:rPr>
                <w:rFonts w:ascii="Georgia" w:hAnsi="Georgia"/>
                <w:i/>
                <w:color w:val="000000" w:themeColor="text1"/>
              </w:rPr>
              <w:lastRenderedPageBreak/>
              <w:t>maksimalnu struju u normalnom pogonu.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ind w:left="409"/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Proračun presjeka aluminijskih sabirnica s obzirom na zagrijavanje za vrijeme kratkog spoja uz maksimalnu temperaturu od 180 ºC.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 xml:space="preserve">Vdovjak Tomislav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(3E1 ELE -)</w:t>
            </w: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Mikroupravljači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i primjena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Izrada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programatora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mikroupravljača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Alarmni uređaj u automobilu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Regulirani ispravljač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Svjetlom upravljana sklopka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Solarni otočni sustav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EKG - elektrokardiogram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CT –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computer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tomografy</w:t>
            </w:r>
            <w:proofErr w:type="spellEnd"/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Ulična rasvjeta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Regulacija osvjetljenja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Audio pojačalo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shd w:val="clear" w:color="auto" w:fill="FFFFFF" w:themeFill="background1"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  <w:shd w:val="clear" w:color="auto" w:fill="FFFFFF" w:themeFill="background1"/>
          </w:tcPr>
          <w:p w:rsidR="002450ED" w:rsidRPr="002450ED" w:rsidRDefault="002450ED" w:rsidP="002450ED">
            <w:pPr>
              <w:numPr>
                <w:ilvl w:val="0"/>
                <w:numId w:val="11"/>
              </w:numPr>
              <w:shd w:val="clear" w:color="auto" w:fill="FFFFFF"/>
              <w:ind w:left="409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</w:rPr>
              <w:t>WU metar</w:t>
            </w:r>
          </w:p>
        </w:tc>
      </w:tr>
      <w:tr w:rsidR="002450ED" w:rsidRPr="002450ED" w:rsidTr="00417409">
        <w:trPr>
          <w:trHeight w:val="48"/>
          <w:jc w:val="center"/>
        </w:trPr>
        <w:tc>
          <w:tcPr>
            <w:tcW w:w="849" w:type="dxa"/>
            <w:vMerge w:val="restart"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 w:val="restart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proofErr w:type="spellStart"/>
            <w:r w:rsidRPr="002450ED">
              <w:rPr>
                <w:rFonts w:ascii="Georgia" w:hAnsi="Georgia"/>
                <w:i/>
                <w:color w:val="000000" w:themeColor="text1"/>
              </w:rPr>
              <w:t>Zlomislić</w:t>
            </w:r>
            <w:proofErr w:type="spellEnd"/>
            <w:r w:rsidRPr="002450ED">
              <w:rPr>
                <w:rFonts w:ascii="Georgia" w:hAnsi="Georgia"/>
                <w:i/>
                <w:color w:val="000000" w:themeColor="text1"/>
              </w:rPr>
              <w:t xml:space="preserve"> Drago </w:t>
            </w:r>
          </w:p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  <w:r w:rsidRPr="002450ED">
              <w:rPr>
                <w:rFonts w:ascii="Georgia" w:hAnsi="Georgia"/>
                <w:i/>
                <w:color w:val="000000" w:themeColor="text1"/>
              </w:rPr>
              <w:t>(4ET1 – 7)</w:t>
            </w: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lang w:val="hr-HR"/>
              </w:rPr>
              <w:t>Proračun električne instalacije za trosobni stambeni objekt.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lang w:val="hr-HR"/>
              </w:rPr>
              <w:t>Proračun električne instalacije za stolarsku radionicu.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r w:rsidRPr="002450ED">
              <w:rPr>
                <w:rFonts w:ascii="Georgia" w:hAnsi="Georgia" w:cs="Arial"/>
                <w:i/>
                <w:color w:val="000000" w:themeColor="text1"/>
                <w:lang w:val="hr-HR"/>
              </w:rPr>
              <w:t>Automatska kontrola rada potopne pumpe za crpljenje vode iz bušotine (praktičan rad)</w:t>
            </w:r>
          </w:p>
        </w:tc>
      </w:tr>
      <w:tr w:rsidR="002450ED" w:rsidRPr="002450ED" w:rsidTr="00417409">
        <w:trPr>
          <w:trHeight w:val="45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Baždarenje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3-faznog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analognog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brojila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u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baždarnici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„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Elektroslavonija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“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Baždarenje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3-faznog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digitalnog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brojila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u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baždarnici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„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Elektroslavonija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“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Izrada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gromobranske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instalacije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na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stambenom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objektu</w:t>
            </w:r>
            <w:proofErr w:type="spellEnd"/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Proračun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protuprovalne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zaštite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multimedijalne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učionice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Proračun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protupož</w:t>
            </w:r>
            <w:r w:rsidRPr="002450ED">
              <w:rPr>
                <w:rFonts w:ascii="Georgia" w:hAnsi="Georgia" w:cs="Arial"/>
                <w:i/>
                <w:color w:val="000000" w:themeColor="text1"/>
              </w:rPr>
              <w:t>arne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zaštite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prostorije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sa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lako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zapaljivim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tvarima</w:t>
            </w:r>
            <w:proofErr w:type="spellEnd"/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Proračun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kompenzacije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jalove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snage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nekog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postrojenja</w:t>
            </w:r>
            <w:proofErr w:type="spellEnd"/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9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ascii="Georgia" w:hAnsi="Georgia" w:cs="Arial"/>
                <w:i/>
                <w:color w:val="000000" w:themeColor="text1"/>
                <w:lang w:val="hr-HR"/>
              </w:rPr>
            </w:pP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Regulac</w:t>
            </w:r>
            <w:r w:rsidRPr="002450ED">
              <w:rPr>
                <w:rFonts w:ascii="Georgia" w:hAnsi="Georgia" w:cs="Arial"/>
                <w:i/>
                <w:color w:val="000000" w:themeColor="text1"/>
              </w:rPr>
              <w:t>ija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broja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okretaja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hAnsi="Georgia" w:cs="Arial"/>
                <w:i/>
                <w:color w:val="000000" w:themeColor="text1"/>
              </w:rPr>
              <w:t>istosmjernog</w:t>
            </w:r>
            <w:proofErr w:type="spellEnd"/>
            <w:r w:rsidRPr="002450ED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elektromotora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„PI</w:t>
            </w:r>
            <w:proofErr w:type="gram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“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regulatorom</w:t>
            </w:r>
            <w:proofErr w:type="spellEnd"/>
            <w:proofErr w:type="gram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.</w:t>
            </w:r>
          </w:p>
        </w:tc>
      </w:tr>
      <w:tr w:rsidR="002450ED" w:rsidRPr="002450ED" w:rsidTr="00417409">
        <w:trPr>
          <w:trHeight w:val="20"/>
          <w:jc w:val="center"/>
        </w:trPr>
        <w:tc>
          <w:tcPr>
            <w:tcW w:w="849" w:type="dxa"/>
            <w:vMerge/>
          </w:tcPr>
          <w:p w:rsidR="002450ED" w:rsidRPr="002450ED" w:rsidRDefault="002450ED" w:rsidP="002450ED">
            <w:pPr>
              <w:pStyle w:val="Odlomakpopisa"/>
              <w:numPr>
                <w:ilvl w:val="0"/>
                <w:numId w:val="7"/>
              </w:num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2937" w:type="dxa"/>
            <w:vMerge/>
            <w:vAlign w:val="center"/>
          </w:tcPr>
          <w:p w:rsidR="002450ED" w:rsidRPr="002450ED" w:rsidRDefault="002450ED" w:rsidP="00417409">
            <w:pPr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4980" w:type="dxa"/>
          </w:tcPr>
          <w:p w:rsidR="002450ED" w:rsidRPr="002450ED" w:rsidRDefault="002450ED" w:rsidP="002450ED">
            <w:pPr>
              <w:pStyle w:val="Odlomakpopisa1"/>
              <w:numPr>
                <w:ilvl w:val="0"/>
                <w:numId w:val="6"/>
              </w:numPr>
              <w:ind w:left="409"/>
              <w:jc w:val="both"/>
              <w:rPr>
                <w:rFonts w:cs="Arial"/>
                <w:i/>
                <w:color w:val="000000" w:themeColor="text1"/>
                <w:lang w:val="hr-HR"/>
              </w:rPr>
            </w:pP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Kontrola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temperature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pšenice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u 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skladištu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 xml:space="preserve"> (</w:t>
            </w:r>
            <w:proofErr w:type="spellStart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silosu</w:t>
            </w:r>
            <w:proofErr w:type="spellEnd"/>
            <w:r w:rsidRPr="002450ED">
              <w:rPr>
                <w:rFonts w:ascii="Georgia" w:eastAsia="Calibri" w:hAnsi="Georgia" w:cs="Arial"/>
                <w:i/>
                <w:color w:val="000000" w:themeColor="text1"/>
              </w:rPr>
              <w:t>)</w:t>
            </w:r>
          </w:p>
        </w:tc>
      </w:tr>
    </w:tbl>
    <w:p w:rsidR="00936828" w:rsidRPr="002450ED" w:rsidRDefault="002450ED">
      <w:pPr>
        <w:rPr>
          <w:color w:val="000000" w:themeColor="text1"/>
        </w:rPr>
      </w:pPr>
    </w:p>
    <w:sectPr w:rsidR="00936828" w:rsidRPr="002450ED" w:rsidSect="0080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BFF"/>
    <w:multiLevelType w:val="hybridMultilevel"/>
    <w:tmpl w:val="0FA8FC0E"/>
    <w:lvl w:ilvl="0" w:tplc="EF6E0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B08"/>
    <w:multiLevelType w:val="hybridMultilevel"/>
    <w:tmpl w:val="9C54D5F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07B"/>
    <w:multiLevelType w:val="hybridMultilevel"/>
    <w:tmpl w:val="97A0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C43C5"/>
    <w:multiLevelType w:val="multilevel"/>
    <w:tmpl w:val="CC3251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Naslov1"/>
      <w:suff w:val="space"/>
      <w:lvlText w:val="%1.%2."/>
      <w:lvlJc w:val="left"/>
      <w:pPr>
        <w:ind w:left="432" w:hanging="432"/>
      </w:pPr>
      <w:rPr>
        <w:rFonts w:ascii="Arial" w:hAnsi="Arial" w:hint="default"/>
        <w:b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  <w:rPr>
        <w:rFonts w:hint="default"/>
      </w:rPr>
    </w:lvl>
  </w:abstractNum>
  <w:abstractNum w:abstractNumId="4">
    <w:nsid w:val="1F17781B"/>
    <w:multiLevelType w:val="hybridMultilevel"/>
    <w:tmpl w:val="D1F41BB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3C35"/>
    <w:multiLevelType w:val="multilevel"/>
    <w:tmpl w:val="1606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80E59"/>
    <w:multiLevelType w:val="hybridMultilevel"/>
    <w:tmpl w:val="613CA928"/>
    <w:lvl w:ilvl="0" w:tplc="A77E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A1664"/>
    <w:multiLevelType w:val="multilevel"/>
    <w:tmpl w:val="4D92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22C40"/>
    <w:multiLevelType w:val="hybridMultilevel"/>
    <w:tmpl w:val="7C5C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85F6A"/>
    <w:multiLevelType w:val="hybridMultilevel"/>
    <w:tmpl w:val="7E781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64CD"/>
    <w:multiLevelType w:val="hybridMultilevel"/>
    <w:tmpl w:val="B92AF900"/>
    <w:lvl w:ilvl="0" w:tplc="F27052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57523"/>
    <w:multiLevelType w:val="hybridMultilevel"/>
    <w:tmpl w:val="23F61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0F6B"/>
    <w:multiLevelType w:val="hybridMultilevel"/>
    <w:tmpl w:val="712E5FFE"/>
    <w:lvl w:ilvl="0" w:tplc="1FA43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12CF3"/>
    <w:multiLevelType w:val="hybridMultilevel"/>
    <w:tmpl w:val="20DC10D8"/>
    <w:lvl w:ilvl="0" w:tplc="8BEA3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A13F7"/>
    <w:multiLevelType w:val="hybridMultilevel"/>
    <w:tmpl w:val="F9E68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973AA"/>
    <w:multiLevelType w:val="hybridMultilevel"/>
    <w:tmpl w:val="AFC49FB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B1062F"/>
    <w:multiLevelType w:val="hybridMultilevel"/>
    <w:tmpl w:val="DCDEDD5C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15D3E"/>
    <w:multiLevelType w:val="hybridMultilevel"/>
    <w:tmpl w:val="A02C1F0C"/>
    <w:lvl w:ilvl="0" w:tplc="D24422D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9" w:hanging="360"/>
      </w:pPr>
    </w:lvl>
    <w:lvl w:ilvl="2" w:tplc="041A001B" w:tentative="1">
      <w:start w:val="1"/>
      <w:numFmt w:val="lowerRoman"/>
      <w:lvlText w:val="%3."/>
      <w:lvlJc w:val="right"/>
      <w:pPr>
        <w:ind w:left="2209" w:hanging="180"/>
      </w:pPr>
    </w:lvl>
    <w:lvl w:ilvl="3" w:tplc="041A000F" w:tentative="1">
      <w:start w:val="1"/>
      <w:numFmt w:val="decimal"/>
      <w:lvlText w:val="%4."/>
      <w:lvlJc w:val="left"/>
      <w:pPr>
        <w:ind w:left="2929" w:hanging="360"/>
      </w:pPr>
    </w:lvl>
    <w:lvl w:ilvl="4" w:tplc="041A0019" w:tentative="1">
      <w:start w:val="1"/>
      <w:numFmt w:val="lowerLetter"/>
      <w:lvlText w:val="%5."/>
      <w:lvlJc w:val="left"/>
      <w:pPr>
        <w:ind w:left="3649" w:hanging="360"/>
      </w:pPr>
    </w:lvl>
    <w:lvl w:ilvl="5" w:tplc="041A001B" w:tentative="1">
      <w:start w:val="1"/>
      <w:numFmt w:val="lowerRoman"/>
      <w:lvlText w:val="%6."/>
      <w:lvlJc w:val="right"/>
      <w:pPr>
        <w:ind w:left="4369" w:hanging="180"/>
      </w:pPr>
    </w:lvl>
    <w:lvl w:ilvl="6" w:tplc="041A000F" w:tentative="1">
      <w:start w:val="1"/>
      <w:numFmt w:val="decimal"/>
      <w:lvlText w:val="%7."/>
      <w:lvlJc w:val="left"/>
      <w:pPr>
        <w:ind w:left="5089" w:hanging="360"/>
      </w:pPr>
    </w:lvl>
    <w:lvl w:ilvl="7" w:tplc="041A0019" w:tentative="1">
      <w:start w:val="1"/>
      <w:numFmt w:val="lowerLetter"/>
      <w:lvlText w:val="%8."/>
      <w:lvlJc w:val="left"/>
      <w:pPr>
        <w:ind w:left="5809" w:hanging="360"/>
      </w:pPr>
    </w:lvl>
    <w:lvl w:ilvl="8" w:tplc="041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>
    <w:nsid w:val="7EE72D95"/>
    <w:multiLevelType w:val="hybridMultilevel"/>
    <w:tmpl w:val="33C68BCC"/>
    <w:lvl w:ilvl="0" w:tplc="864A35A6">
      <w:start w:val="1"/>
      <w:numFmt w:val="decimal"/>
      <w:lvlText w:val="%1."/>
      <w:lvlJc w:val="left"/>
      <w:pPr>
        <w:ind w:left="927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6"/>
  </w:num>
  <w:num w:numId="9">
    <w:abstractNumId w:val="6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450ED"/>
    <w:rsid w:val="002450ED"/>
    <w:rsid w:val="007A4C7D"/>
    <w:rsid w:val="00802FD3"/>
    <w:rsid w:val="00897DA7"/>
    <w:rsid w:val="00927BB3"/>
    <w:rsid w:val="00B07802"/>
    <w:rsid w:val="00F15C2E"/>
    <w:rsid w:val="00F5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E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50ED"/>
    <w:pPr>
      <w:ind w:left="720"/>
      <w:contextualSpacing/>
    </w:pPr>
  </w:style>
  <w:style w:type="table" w:styleId="Reetkatablice">
    <w:name w:val="Table Grid"/>
    <w:basedOn w:val="Obinatablica"/>
    <w:uiPriority w:val="59"/>
    <w:rsid w:val="002450E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1">
    <w:name w:val="Naslov1"/>
    <w:basedOn w:val="Normal"/>
    <w:rsid w:val="002450ED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2450ED"/>
    <w:pPr>
      <w:ind w:left="720"/>
    </w:pPr>
    <w:rPr>
      <w:rFonts w:ascii="Calibri" w:eastAsia="Times New Roman" w:hAnsi="Calibri" w:cs="Times New Roman"/>
      <w:lang w:val="en-US"/>
    </w:rPr>
  </w:style>
  <w:style w:type="paragraph" w:customStyle="1" w:styleId="Odlomakpopisa2">
    <w:name w:val="Odlomak popisa2"/>
    <w:basedOn w:val="Normal"/>
    <w:rsid w:val="002450ED"/>
    <w:pPr>
      <w:suppressAutoHyphens/>
      <w:ind w:left="720"/>
      <w:contextualSpacing/>
    </w:pPr>
    <w:rPr>
      <w:rFonts w:ascii="Calibri" w:eastAsia="SimSun" w:hAnsi="Calibri" w:cs="Calibri"/>
      <w:kern w:val="1"/>
    </w:rPr>
  </w:style>
  <w:style w:type="paragraph" w:customStyle="1" w:styleId="Odlomakpopisa3">
    <w:name w:val="Odlomak popisa3"/>
    <w:basedOn w:val="Normal"/>
    <w:qFormat/>
    <w:rsid w:val="002450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Odlomakpopisa4">
    <w:name w:val="Odlomak popisa4"/>
    <w:basedOn w:val="Normal"/>
    <w:rsid w:val="002450ED"/>
    <w:pPr>
      <w:ind w:left="720"/>
    </w:pPr>
    <w:rPr>
      <w:rFonts w:ascii="Calibri" w:eastAsia="Times New Roman" w:hAnsi="Calibri" w:cs="Calibri"/>
      <w:lang w:eastAsia="en-US"/>
    </w:rPr>
  </w:style>
  <w:style w:type="paragraph" w:styleId="Bezproreda">
    <w:name w:val="No Spacing"/>
    <w:uiPriority w:val="1"/>
    <w:qFormat/>
    <w:rsid w:val="002450ED"/>
    <w:pPr>
      <w:spacing w:after="0" w:line="240" w:lineRule="auto"/>
    </w:pPr>
    <w:rPr>
      <w:rFonts w:eastAsiaTheme="minorEastAsia"/>
      <w:lang w:eastAsia="hr-HR"/>
    </w:rPr>
  </w:style>
  <w:style w:type="paragraph" w:customStyle="1" w:styleId="ListParagraph">
    <w:name w:val="List Paragraph"/>
    <w:basedOn w:val="Normal"/>
    <w:uiPriority w:val="34"/>
    <w:qFormat/>
    <w:rsid w:val="002450E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Zdenko</cp:lastModifiedBy>
  <cp:revision>1</cp:revision>
  <dcterms:created xsi:type="dcterms:W3CDTF">2014-10-20T12:07:00Z</dcterms:created>
  <dcterms:modified xsi:type="dcterms:W3CDTF">2014-10-20T12:08:00Z</dcterms:modified>
</cp:coreProperties>
</file>